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8A" w:rsidRPr="008429CB" w:rsidRDefault="00B90B8A" w:rsidP="000866FD">
      <w:pPr>
        <w:shd w:val="clear" w:color="auto" w:fill="FFFFFF"/>
        <w:ind w:left="1440" w:firstLine="720"/>
        <w:rPr>
          <w:rFonts w:eastAsia="Times New Roman"/>
          <w:b/>
        </w:rPr>
      </w:pPr>
      <w:bookmarkStart w:id="0" w:name="_GoBack"/>
      <w:bookmarkEnd w:id="0"/>
      <w:r w:rsidRPr="008429CB">
        <w:rPr>
          <w:rFonts w:eastAsia="Times New Roman"/>
          <w:b/>
        </w:rPr>
        <w:t>Northwest Louisiana Human Service District (NLHSD)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 xml:space="preserve">Meeting </w:t>
      </w:r>
      <w:r w:rsidR="00753F9E">
        <w:rPr>
          <w:rFonts w:eastAsia="Times New Roman"/>
        </w:rPr>
        <w:t>Minutes</w:t>
      </w:r>
      <w:r w:rsidRPr="008429CB">
        <w:rPr>
          <w:rFonts w:eastAsia="Times New Roman"/>
        </w:rPr>
        <w:t xml:space="preserve"> for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  <w:b/>
        </w:rPr>
        <w:t xml:space="preserve">Monday, </w:t>
      </w:r>
      <w:r w:rsidR="000866FD">
        <w:rPr>
          <w:rFonts w:eastAsia="Times New Roman"/>
          <w:b/>
          <w:caps/>
        </w:rPr>
        <w:t>December 18</w:t>
      </w:r>
      <w:r w:rsidR="00FC090E">
        <w:rPr>
          <w:rFonts w:eastAsia="Times New Roman"/>
          <w:b/>
          <w:caps/>
        </w:rPr>
        <w:t xml:space="preserve">, </w:t>
      </w:r>
      <w:r>
        <w:rPr>
          <w:rFonts w:eastAsia="Times New Roman"/>
          <w:b/>
          <w:caps/>
        </w:rPr>
        <w:t>2017</w:t>
      </w:r>
      <w:r w:rsidRPr="008429CB">
        <w:rPr>
          <w:rFonts w:eastAsia="Times New Roman"/>
          <w:b/>
        </w:rPr>
        <w:t xml:space="preserve"> @ 5:30 p.m.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  <w:r w:rsidRPr="008429CB">
        <w:rPr>
          <w:rFonts w:eastAsia="Times New Roman"/>
        </w:rPr>
        <w:t>1310 N. Hearne Avenue – Shreveport Behavioral Health Clinic – Shreveport, LA  71107</w:t>
      </w:r>
    </w:p>
    <w:p w:rsidR="00B90B8A" w:rsidRPr="008429CB" w:rsidRDefault="00B90B8A" w:rsidP="00B90B8A">
      <w:pPr>
        <w:shd w:val="clear" w:color="auto" w:fill="FFFFFF"/>
        <w:jc w:val="center"/>
        <w:rPr>
          <w:rFonts w:eastAsia="Times New Roman"/>
        </w:rPr>
      </w:pP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Call to order</w:t>
      </w:r>
      <w:r w:rsidR="00171593">
        <w:rPr>
          <w:rFonts w:eastAsia="Times New Roman"/>
          <w:b/>
        </w:rPr>
        <w:t>-5:</w:t>
      </w:r>
      <w:r w:rsidR="000866FD">
        <w:rPr>
          <w:rFonts w:eastAsia="Times New Roman"/>
          <w:b/>
        </w:rPr>
        <w:t>50</w:t>
      </w:r>
      <w:r w:rsidR="00171593">
        <w:rPr>
          <w:rFonts w:eastAsia="Times New Roman"/>
          <w:b/>
        </w:rPr>
        <w:t>PM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Invocation</w:t>
      </w:r>
      <w:r w:rsidR="00171593">
        <w:rPr>
          <w:rFonts w:eastAsia="Times New Roman"/>
          <w:b/>
        </w:rPr>
        <w:t>-</w:t>
      </w:r>
      <w:r w:rsidR="00BE0F3F">
        <w:rPr>
          <w:rFonts w:eastAsia="Times New Roman"/>
          <w:b/>
        </w:rPr>
        <w:t xml:space="preserve"> by </w:t>
      </w:r>
      <w:r w:rsidR="000866FD">
        <w:rPr>
          <w:rFonts w:eastAsia="Times New Roman"/>
          <w:b/>
        </w:rPr>
        <w:t>Marcelle Slaughter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Pledge of Allegiance</w:t>
      </w:r>
      <w:r w:rsidR="00BE0F3F">
        <w:rPr>
          <w:rFonts w:eastAsia="Times New Roman"/>
          <w:b/>
        </w:rPr>
        <w:t>-</w:t>
      </w:r>
      <w:r w:rsidR="00A16A60">
        <w:rPr>
          <w:rFonts w:eastAsia="Times New Roman"/>
          <w:b/>
        </w:rPr>
        <w:t xml:space="preserve"> </w:t>
      </w:r>
      <w:r w:rsidR="005E037B">
        <w:rPr>
          <w:rFonts w:eastAsia="Times New Roman"/>
          <w:b/>
        </w:rPr>
        <w:t xml:space="preserve">by </w:t>
      </w:r>
      <w:r w:rsidR="00A16A60">
        <w:rPr>
          <w:rFonts w:eastAsia="Times New Roman"/>
          <w:b/>
        </w:rPr>
        <w:t>Dee Fowler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</w:rPr>
      </w:pPr>
      <w:r w:rsidRPr="008429CB">
        <w:rPr>
          <w:rFonts w:eastAsia="Times New Roman"/>
          <w:b/>
        </w:rPr>
        <w:t>Welcome</w:t>
      </w:r>
      <w:r w:rsidR="00A16A60">
        <w:rPr>
          <w:rFonts w:eastAsia="Times New Roman"/>
          <w:b/>
        </w:rPr>
        <w:t>-President Camara welcomed the guest.</w:t>
      </w: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  <w:r w:rsidR="00A16A60">
        <w:rPr>
          <w:rFonts w:eastAsia="Times New Roman"/>
          <w:b/>
        </w:rPr>
        <w:t xml:space="preserve">-There was a quorum, </w:t>
      </w:r>
      <w:r w:rsidR="000866FD">
        <w:rPr>
          <w:rFonts w:eastAsia="Times New Roman"/>
          <w:b/>
        </w:rPr>
        <w:t>7</w:t>
      </w:r>
      <w:r w:rsidR="00A16A60">
        <w:rPr>
          <w:rFonts w:eastAsia="Times New Roman"/>
          <w:b/>
        </w:rPr>
        <w:t xml:space="preserve"> out of 10 active members were present.</w:t>
      </w:r>
    </w:p>
    <w:p w:rsidR="00A16A60" w:rsidRPr="007D5558" w:rsidRDefault="00A16A60" w:rsidP="00B90B8A">
      <w:pPr>
        <w:shd w:val="clear" w:color="auto" w:fill="FFFFFF"/>
        <w:jc w:val="both"/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7"/>
        <w:gridCol w:w="2687"/>
      </w:tblGrid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 Vacant</w:t>
            </w:r>
          </w:p>
        </w:tc>
        <w:tc>
          <w:tcPr>
            <w:tcW w:w="2686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Bossier- George Sewell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7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Caddo-Njeri Camara</w:t>
            </w:r>
            <w:r w:rsidR="00886C76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2687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Claiborne-Jamie Lennard</w:t>
            </w:r>
            <w:r w:rsidR="00886C76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</w:tc>
      </w:tr>
      <w:tr w:rsidR="00B90B8A" w:rsidTr="00A835F3">
        <w:tc>
          <w:tcPr>
            <w:tcW w:w="2686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DeSoto- Fletcher Carter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 Vacant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Red River-Wanda Brock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EX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 xml:space="preserve">Sabine-Marcelle </w:t>
            </w:r>
            <w:r w:rsidR="000866FD">
              <w:rPr>
                <w:rFonts w:eastAsia="Times New Roman"/>
              </w:rPr>
              <w:t>Slaughter</w:t>
            </w:r>
            <w:r w:rsidR="00171593" w:rsidRPr="000866FD">
              <w:rPr>
                <w:rFonts w:eastAsia="Times New Roman"/>
                <w:color w:val="FF0000"/>
              </w:rPr>
              <w:t>-</w:t>
            </w:r>
            <w:r w:rsidR="000866FD" w:rsidRPr="000866FD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Pr="00FC090E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Webster-Ora Rice</w:t>
            </w:r>
            <w:r w:rsidR="00171593">
              <w:rPr>
                <w:rFonts w:eastAsia="Times New Roman"/>
              </w:rPr>
              <w:t>-</w:t>
            </w:r>
            <w:r w:rsidR="00FC090E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Gov.-Deanna Fowler</w:t>
            </w:r>
            <w:r w:rsidR="00171593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 Reece Middleton</w:t>
            </w:r>
            <w:r w:rsidR="00171593">
              <w:rPr>
                <w:rFonts w:eastAsia="Times New Roman"/>
              </w:rPr>
              <w:t>-</w:t>
            </w:r>
            <w:r w:rsidR="000866FD">
              <w:rPr>
                <w:rFonts w:eastAsia="Times New Roman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Gov.-Chris Nolen</w:t>
            </w:r>
            <w:r w:rsidR="00171593">
              <w:rPr>
                <w:rFonts w:eastAsia="Times New Roman"/>
              </w:rPr>
              <w:t>-</w:t>
            </w:r>
            <w:r w:rsidR="000866FD">
              <w:rPr>
                <w:rFonts w:eastAsia="Times New Roman"/>
              </w:rPr>
              <w:t>P</w:t>
            </w:r>
          </w:p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Pr="005E037B" w:rsidRDefault="00B90B8A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Staff ED-D. Efferson</w:t>
            </w:r>
            <w:r w:rsidR="0058488C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  <w:tr w:rsidR="00B90B8A" w:rsidTr="00A835F3"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Guests- </w:t>
            </w:r>
          </w:p>
          <w:p w:rsidR="00B90B8A" w:rsidRPr="005E037B" w:rsidRDefault="0031734C" w:rsidP="00A835F3">
            <w:pPr>
              <w:jc w:val="both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</w:rPr>
              <w:t>Duane Ebarb</w:t>
            </w:r>
            <w:r w:rsidR="005E037B">
              <w:rPr>
                <w:rFonts w:eastAsia="Times New Roman"/>
              </w:rPr>
              <w:t>-</w:t>
            </w:r>
            <w:r w:rsidR="005E037B">
              <w:rPr>
                <w:rFonts w:eastAsia="Times New Roman"/>
                <w:color w:val="FF0000"/>
              </w:rPr>
              <w:t>P</w:t>
            </w:r>
          </w:p>
        </w:tc>
        <w:tc>
          <w:tcPr>
            <w:tcW w:w="2686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B90B8A" w:rsidRDefault="00B90B8A" w:rsidP="00A835F3">
            <w:pPr>
              <w:jc w:val="both"/>
              <w:rPr>
                <w:rFonts w:eastAsia="Times New Roman"/>
              </w:rPr>
            </w:pPr>
          </w:p>
        </w:tc>
      </w:tr>
    </w:tbl>
    <w:p w:rsidR="00753F9E" w:rsidRDefault="00753F9E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</w:p>
    <w:p w:rsidR="00B90B8A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Approval of Agenda</w:t>
      </w:r>
      <w:r w:rsidR="00171593">
        <w:rPr>
          <w:rFonts w:eastAsia="Times New Roman"/>
          <w:b/>
        </w:rPr>
        <w:t>-</w:t>
      </w:r>
      <w:r w:rsidR="0017024E">
        <w:rPr>
          <w:rFonts w:eastAsia="Times New Roman"/>
          <w:b/>
        </w:rPr>
        <w:t xml:space="preserve"> Dee</w:t>
      </w:r>
      <w:r w:rsidRPr="008429CB">
        <w:rPr>
          <w:rFonts w:eastAsia="Times New Roman"/>
          <w:b/>
        </w:rPr>
        <w:t xml:space="preserve"> </w:t>
      </w:r>
      <w:r w:rsidR="00171593">
        <w:rPr>
          <w:rFonts w:eastAsia="Times New Roman"/>
          <w:b/>
        </w:rPr>
        <w:t>Fowler moved for the approval of agenda</w:t>
      </w:r>
      <w:r w:rsidR="005E037B">
        <w:rPr>
          <w:rFonts w:eastAsia="Times New Roman"/>
          <w:b/>
        </w:rPr>
        <w:t>,</w:t>
      </w:r>
      <w:r w:rsidR="00171593">
        <w:rPr>
          <w:rFonts w:eastAsia="Times New Roman"/>
          <w:b/>
        </w:rPr>
        <w:t xml:space="preserve"> seconded by</w:t>
      </w:r>
      <w:r w:rsidR="005E037B">
        <w:rPr>
          <w:rFonts w:eastAsia="Times New Roman"/>
          <w:b/>
        </w:rPr>
        <w:t xml:space="preserve"> Fletcher Carter, motion carried.</w:t>
      </w:r>
    </w:p>
    <w:p w:rsidR="00DD35B5" w:rsidRDefault="00B90B8A" w:rsidP="00B90B8A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Approval of the Minute</w:t>
      </w:r>
      <w:r w:rsidR="00FA3A59">
        <w:rPr>
          <w:rFonts w:eastAsia="Times New Roman"/>
          <w:b/>
        </w:rPr>
        <w:t xml:space="preserve">s </w:t>
      </w:r>
      <w:r w:rsidR="005E037B">
        <w:rPr>
          <w:rFonts w:eastAsia="Times New Roman"/>
          <w:b/>
        </w:rPr>
        <w:t xml:space="preserve">for </w:t>
      </w:r>
      <w:r w:rsidR="000866FD">
        <w:rPr>
          <w:rFonts w:eastAsia="Times New Roman"/>
          <w:b/>
        </w:rPr>
        <w:t>November 20,</w:t>
      </w:r>
      <w:r w:rsidR="00FA3A59">
        <w:rPr>
          <w:rFonts w:eastAsia="Times New Roman"/>
          <w:b/>
        </w:rPr>
        <w:t xml:space="preserve"> 2017 Board Meeting</w:t>
      </w:r>
      <w:r w:rsidR="005E037B">
        <w:rPr>
          <w:rFonts w:eastAsia="Times New Roman"/>
          <w:b/>
        </w:rPr>
        <w:t>-</w:t>
      </w:r>
      <w:r w:rsidR="00171593">
        <w:rPr>
          <w:rFonts w:eastAsia="Times New Roman"/>
          <w:b/>
        </w:rPr>
        <w:t xml:space="preserve"> </w:t>
      </w:r>
      <w:r w:rsidR="000866FD">
        <w:rPr>
          <w:rFonts w:eastAsia="Times New Roman"/>
          <w:b/>
        </w:rPr>
        <w:t>George Sewell</w:t>
      </w:r>
      <w:r w:rsidR="005E037B">
        <w:rPr>
          <w:rFonts w:eastAsia="Times New Roman"/>
          <w:b/>
        </w:rPr>
        <w:t xml:space="preserve"> moved to accept the </w:t>
      </w:r>
      <w:r w:rsidR="00753F9E">
        <w:rPr>
          <w:rFonts w:eastAsia="Times New Roman"/>
          <w:b/>
        </w:rPr>
        <w:t xml:space="preserve">minutes, </w:t>
      </w:r>
      <w:r w:rsidR="00DD35B5">
        <w:rPr>
          <w:rFonts w:eastAsia="Times New Roman"/>
          <w:b/>
        </w:rPr>
        <w:t>seconded by Dee Fowler, motion carried.</w:t>
      </w:r>
      <w:r w:rsidR="000866FD">
        <w:rPr>
          <w:rFonts w:eastAsia="Times New Roman"/>
          <w:b/>
        </w:rPr>
        <w:t xml:space="preserve"> </w:t>
      </w:r>
    </w:p>
    <w:p w:rsidR="00753F9E" w:rsidRDefault="00753F9E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B90B8A" w:rsidRPr="008429CB">
        <w:rPr>
          <w:rFonts w:eastAsia="Times New Roman"/>
          <w:b/>
        </w:rPr>
        <w:t>Guest and Public Comments</w:t>
      </w:r>
      <w:r w:rsidR="00C661A3">
        <w:rPr>
          <w:rFonts w:eastAsia="Times New Roman"/>
          <w:b/>
        </w:rPr>
        <w:t>-</w:t>
      </w:r>
      <w:r>
        <w:rPr>
          <w:rFonts w:eastAsia="Times New Roman"/>
          <w:b/>
        </w:rPr>
        <w:t xml:space="preserve"> </w:t>
      </w:r>
      <w:r w:rsidR="00673967">
        <w:rPr>
          <w:rFonts w:eastAsia="Times New Roman"/>
          <w:b/>
        </w:rPr>
        <w:t>Lakeisha</w:t>
      </w:r>
      <w:r w:rsidR="00DD35B5">
        <w:rPr>
          <w:rFonts w:eastAsia="Times New Roman"/>
          <w:b/>
        </w:rPr>
        <w:t xml:space="preserve"> Mosley and </w:t>
      </w:r>
      <w:r>
        <w:rPr>
          <w:rFonts w:eastAsia="Times New Roman"/>
          <w:b/>
        </w:rPr>
        <w:t>Duane Ebarb</w:t>
      </w:r>
    </w:p>
    <w:p w:rsidR="00DD35B5" w:rsidRDefault="00673967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Lakeisha</w:t>
      </w:r>
      <w:r w:rsidR="00DD35B5">
        <w:rPr>
          <w:rFonts w:eastAsia="Times New Roman"/>
          <w:b/>
        </w:rPr>
        <w:t xml:space="preserve"> Mosley presented herself as the new Community Awareness and Outreach Coordinator for the Louisiana Association for Compulsive Gambling.  </w:t>
      </w:r>
    </w:p>
    <w:p w:rsidR="00DD35B5" w:rsidRDefault="00DD35B5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Duane Ebarb discussed some of the items on the agenda.  He indicated that LaCann and the DD Council will be advocating </w:t>
      </w:r>
      <w:r w:rsidR="00A24001">
        <w:rPr>
          <w:rFonts w:eastAsia="Times New Roman"/>
          <w:b/>
        </w:rPr>
        <w:t>and asking for 800 waiver slots for the New Opportunities Waiver. Mixed Waivers have 300 existing slots that have not been funded. They are requesting 500 slots and $4.5 million to fund, a $29 Million -dollar budget and 800 state-wide slots.</w:t>
      </w:r>
    </w:p>
    <w:p w:rsidR="00A24001" w:rsidRDefault="00A24001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There are 13,400 on the waiting list for services, 1,300 most urgent to keep family members in the home.  They reached 10,000.  Once someone has a waiver slot with a private provider agency, the agency is paid $14.44 an </w:t>
      </w:r>
      <w:r w:rsidR="00444894">
        <w:rPr>
          <w:rFonts w:eastAsia="Times New Roman"/>
          <w:b/>
        </w:rPr>
        <w:t>hour to pay for direct care worker, RN salary and training.</w:t>
      </w:r>
    </w:p>
    <w:p w:rsidR="00673967" w:rsidRDefault="00673967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CPR First Aid identify 1,375 with complex behavioral medical needs, competent workers could not be found, $7.55 an hour.</w:t>
      </w:r>
    </w:p>
    <w:p w:rsidR="00673967" w:rsidRDefault="00673967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$19.00 an hour reimbursement rate. Cost to state 2.66 million out of the state general funds. LDH and OCDD if $19.00 is passed, level 5 high</w:t>
      </w:r>
      <w:r w:rsidR="009B4605">
        <w:rPr>
          <w:rFonts w:eastAsia="Times New Roman"/>
          <w:b/>
        </w:rPr>
        <w:t>est medical need. Level 6 behavioral need.  Tefra tax incentive program $1l.6 million state general fund. A middle-income family with a child can get a Medicaid card.</w:t>
      </w:r>
    </w:p>
    <w:p w:rsidR="009B4605" w:rsidRDefault="009B4605" w:rsidP="00DD35B5">
      <w:pPr>
        <w:shd w:val="clear" w:color="auto" w:fill="FFFFFF"/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They identified 2, 118 children that would qualify. The Department of Education-behavioral problem issues in the classroom asked to get an alternative school. Training for education teachers is hard.  The Legislative Roundtable discussion is set for January 12</w:t>
      </w:r>
      <w:r w:rsidRPr="009B4605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.</w:t>
      </w:r>
    </w:p>
    <w:p w:rsidR="00B90B8A" w:rsidRPr="00FA3A59" w:rsidRDefault="00B90B8A" w:rsidP="00FA3A59">
      <w:pPr>
        <w:shd w:val="clear" w:color="auto" w:fill="FFFFFF"/>
        <w:jc w:val="both"/>
        <w:rPr>
          <w:rFonts w:eastAsia="Times New Roman"/>
          <w:b/>
        </w:rPr>
      </w:pPr>
      <w:r w:rsidRPr="00FA3A59">
        <w:rPr>
          <w:rFonts w:eastAsia="Times New Roman"/>
          <w:b/>
          <w:sz w:val="32"/>
        </w:rPr>
        <w:tab/>
      </w:r>
    </w:p>
    <w:p w:rsidR="00B90B8A" w:rsidRPr="00D56E3F" w:rsidRDefault="00B90B8A" w:rsidP="00B90B8A">
      <w:pPr>
        <w:pStyle w:val="ListParagraph"/>
        <w:shd w:val="clear" w:color="auto" w:fill="FFFFFF"/>
        <w:tabs>
          <w:tab w:val="left" w:pos="3763"/>
        </w:tabs>
        <w:jc w:val="both"/>
        <w:rPr>
          <w:rFonts w:eastAsia="Times New Roman"/>
          <w:b/>
          <w:sz w:val="20"/>
        </w:rPr>
      </w:pP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Agenda Items for Discussion/Action:  </w:t>
      </w:r>
    </w:p>
    <w:p w:rsidR="00B90B8A" w:rsidRPr="008429CB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8429CB">
        <w:rPr>
          <w:rFonts w:eastAsia="Times New Roman"/>
          <w:b/>
        </w:rPr>
        <w:t>New Business</w:t>
      </w:r>
    </w:p>
    <w:p w:rsidR="006F5459" w:rsidRPr="00444894" w:rsidRDefault="00B90B8A" w:rsidP="006F5459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444894">
        <w:rPr>
          <w:rFonts w:eastAsia="Times New Roman"/>
          <w:b/>
        </w:rPr>
        <w:t>Executive Limitations</w:t>
      </w:r>
      <w:r w:rsidR="00BE0F3F" w:rsidRPr="00444894">
        <w:rPr>
          <w:rFonts w:eastAsia="Times New Roman"/>
          <w:b/>
        </w:rPr>
        <w:t xml:space="preserve">- </w:t>
      </w:r>
    </w:p>
    <w:p w:rsidR="000960AF" w:rsidRPr="000975B1" w:rsidRDefault="000960AF" w:rsidP="000975B1">
      <w:pPr>
        <w:pStyle w:val="ListParagraph"/>
        <w:shd w:val="clear" w:color="auto" w:fill="FFFFFF"/>
        <w:ind w:left="780"/>
        <w:rPr>
          <w:rFonts w:eastAsia="Times New Roman"/>
        </w:rPr>
      </w:pPr>
      <w:r w:rsidRPr="000975B1">
        <w:rPr>
          <w:rFonts w:eastAsia="Times New Roman"/>
        </w:rPr>
        <w:t>Dee Fowler moved</w:t>
      </w:r>
      <w:r w:rsidR="00BE0F3F" w:rsidRPr="000975B1">
        <w:rPr>
          <w:rFonts w:eastAsia="Times New Roman"/>
        </w:rPr>
        <w:t xml:space="preserve"> to accept</w:t>
      </w:r>
      <w:r w:rsidRPr="000975B1">
        <w:rPr>
          <w:rFonts w:eastAsia="Times New Roman"/>
        </w:rPr>
        <w:t xml:space="preserve"> the </w:t>
      </w:r>
      <w:r w:rsidR="00BE0F3F" w:rsidRPr="000975B1">
        <w:rPr>
          <w:rFonts w:eastAsia="Times New Roman"/>
        </w:rPr>
        <w:t>Ed Report for</w:t>
      </w:r>
      <w:r w:rsidR="006F5459">
        <w:rPr>
          <w:rFonts w:eastAsia="Times New Roman"/>
        </w:rPr>
        <w:t xml:space="preserve"> </w:t>
      </w:r>
      <w:r w:rsidR="00444894">
        <w:rPr>
          <w:rFonts w:eastAsia="Times New Roman"/>
        </w:rPr>
        <w:t>November</w:t>
      </w:r>
      <w:r w:rsidRPr="000975B1">
        <w:rPr>
          <w:rFonts w:eastAsia="Times New Roman"/>
        </w:rPr>
        <w:t xml:space="preserve"> as in compliance with the Governance Policy Manual. </w:t>
      </w:r>
      <w:r w:rsidR="00BE0F3F" w:rsidRPr="000975B1">
        <w:rPr>
          <w:rFonts w:eastAsia="Times New Roman"/>
        </w:rPr>
        <w:t xml:space="preserve"> </w:t>
      </w:r>
      <w:r w:rsidR="00444894">
        <w:rPr>
          <w:rFonts w:eastAsia="Times New Roman"/>
        </w:rPr>
        <w:t xml:space="preserve">Reece Middleton </w:t>
      </w:r>
      <w:r w:rsidRPr="000975B1">
        <w:rPr>
          <w:rFonts w:eastAsia="Times New Roman"/>
        </w:rPr>
        <w:t>seconded. Motion carried.</w:t>
      </w:r>
    </w:p>
    <w:p w:rsidR="00B90B8A" w:rsidRPr="000975B1" w:rsidRDefault="00B90B8A" w:rsidP="000960AF">
      <w:pPr>
        <w:pStyle w:val="ListParagraph"/>
        <w:shd w:val="clear" w:color="auto" w:fill="FFFFFF"/>
        <w:ind w:left="780"/>
        <w:rPr>
          <w:rFonts w:eastAsia="Times New Roman"/>
        </w:rPr>
      </w:pPr>
    </w:p>
    <w:p w:rsidR="00B266BF" w:rsidRPr="00B266BF" w:rsidRDefault="006F5459" w:rsidP="00B266BF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>a.  Financial Condition &amp;Activities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</w:p>
    <w:p w:rsidR="00B90B8A" w:rsidRPr="008429CB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>b</w:t>
      </w:r>
      <w:r w:rsidRPr="008429CB">
        <w:rPr>
          <w:rFonts w:eastAsia="Times New Roman"/>
          <w:b/>
        </w:rPr>
        <w:t>.  Communica</w:t>
      </w:r>
      <w:r w:rsidR="000975B1">
        <w:rPr>
          <w:rFonts w:eastAsia="Times New Roman"/>
          <w:b/>
        </w:rPr>
        <w:t xml:space="preserve">tion and Support to the Board      </w:t>
      </w:r>
      <w:r w:rsidR="000975B1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>Page 14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  <w:r w:rsidR="006F5459">
        <w:rPr>
          <w:rFonts w:eastAsia="Times New Roman"/>
          <w:b/>
        </w:rPr>
        <w:t xml:space="preserve">c.  </w:t>
      </w:r>
      <w:r w:rsidR="00444894">
        <w:rPr>
          <w:rFonts w:eastAsia="Times New Roman"/>
          <w:b/>
        </w:rPr>
        <w:t>Asset Protection</w:t>
      </w:r>
      <w:r w:rsidR="00444894">
        <w:rPr>
          <w:rFonts w:eastAsia="Times New Roman"/>
          <w:b/>
        </w:rPr>
        <w:tab/>
      </w:r>
      <w:r w:rsidR="00444894">
        <w:rPr>
          <w:rFonts w:eastAsia="Times New Roman"/>
          <w:b/>
        </w:rPr>
        <w:tab/>
      </w:r>
      <w:r w:rsidR="006F5459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</w:r>
      <w:r w:rsidRPr="008429CB">
        <w:rPr>
          <w:rFonts w:eastAsia="Times New Roman"/>
          <w:b/>
        </w:rPr>
        <w:tab/>
        <w:t xml:space="preserve">Page </w:t>
      </w:r>
      <w:r w:rsidR="00444894">
        <w:rPr>
          <w:rFonts w:eastAsia="Times New Roman"/>
          <w:b/>
        </w:rPr>
        <w:t>12-13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6F5459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   2.  Governance Process</w:t>
      </w:r>
    </w:p>
    <w:p w:rsidR="006F5459" w:rsidRDefault="006F5459" w:rsidP="00B90B8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  a. None</w:t>
      </w:r>
    </w:p>
    <w:p w:rsidR="00B90B8A" w:rsidRDefault="00B90B8A" w:rsidP="00B90B8A">
      <w:pPr>
        <w:shd w:val="clear" w:color="auto" w:fill="FFFFFF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          </w:t>
      </w:r>
    </w:p>
    <w:p w:rsidR="00190703" w:rsidRDefault="00B90B8A" w:rsidP="00444894">
      <w:pPr>
        <w:shd w:val="clear" w:color="auto" w:fill="FFFFFF"/>
        <w:ind w:firstLine="420"/>
        <w:rPr>
          <w:rFonts w:eastAsia="Times New Roman"/>
          <w:b/>
        </w:rPr>
      </w:pPr>
      <w:r w:rsidRPr="008429CB">
        <w:rPr>
          <w:rFonts w:eastAsia="Times New Roman"/>
          <w:b/>
        </w:rPr>
        <w:t xml:space="preserve">  Board Business</w:t>
      </w:r>
      <w:r w:rsidR="00190703">
        <w:rPr>
          <w:rFonts w:eastAsia="Times New Roman"/>
          <w:b/>
        </w:rPr>
        <w:t xml:space="preserve"> </w:t>
      </w:r>
    </w:p>
    <w:p w:rsidR="00B20FB1" w:rsidRPr="00444894" w:rsidRDefault="00B20FB1" w:rsidP="00444894">
      <w:pPr>
        <w:shd w:val="clear" w:color="auto" w:fill="FFFFFF"/>
        <w:rPr>
          <w:rFonts w:eastAsia="Times New Roman"/>
          <w:b/>
        </w:rPr>
      </w:pPr>
    </w:p>
    <w:p w:rsid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Board Monitoring Summary Report of </w:t>
      </w:r>
      <w:r w:rsidR="00444894">
        <w:rPr>
          <w:rFonts w:eastAsia="Times New Roman"/>
          <w:b/>
        </w:rPr>
        <w:t>November</w:t>
      </w:r>
      <w:r>
        <w:rPr>
          <w:rFonts w:eastAsia="Times New Roman"/>
          <w:b/>
        </w:rPr>
        <w:t>, 2017</w:t>
      </w:r>
    </w:p>
    <w:p w:rsidR="00476443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 w:rsidRPr="00476443">
        <w:rPr>
          <w:rFonts w:eastAsia="Times New Roman"/>
          <w:b/>
        </w:rPr>
        <w:t>D</w:t>
      </w:r>
      <w:r w:rsidR="00476443" w:rsidRPr="00476443">
        <w:rPr>
          <w:rFonts w:eastAsia="Times New Roman"/>
          <w:b/>
        </w:rPr>
        <w:t>ecember Board Compliance Monitoring Tool Completion</w:t>
      </w:r>
      <w:r w:rsidR="00913F3F" w:rsidRPr="00476443">
        <w:rPr>
          <w:rFonts w:eastAsia="Times New Roman"/>
          <w:b/>
        </w:rPr>
        <w:t>.</w:t>
      </w:r>
    </w:p>
    <w:p w:rsidR="00B20FB1" w:rsidRPr="00B20FB1" w:rsidRDefault="00B20FB1" w:rsidP="00B20FB1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Next Proposed Meeting Date: </w:t>
      </w:r>
      <w:r w:rsidR="00476443">
        <w:rPr>
          <w:rFonts w:eastAsia="Times New Roman"/>
          <w:b/>
        </w:rPr>
        <w:t>Tuesday</w:t>
      </w:r>
      <w:r>
        <w:rPr>
          <w:rFonts w:eastAsia="Times New Roman"/>
          <w:b/>
        </w:rPr>
        <w:t>,</w:t>
      </w:r>
      <w:r w:rsidR="00476443">
        <w:rPr>
          <w:rFonts w:eastAsia="Times New Roman"/>
          <w:b/>
        </w:rPr>
        <w:t xml:space="preserve"> January 16,</w:t>
      </w:r>
      <w:r>
        <w:rPr>
          <w:rFonts w:eastAsia="Times New Roman"/>
          <w:b/>
        </w:rPr>
        <w:t xml:space="preserve"> 2017 @5:30</w:t>
      </w:r>
      <w:r w:rsidR="00476443">
        <w:rPr>
          <w:rFonts w:eastAsia="Times New Roman"/>
          <w:b/>
        </w:rPr>
        <w:t xml:space="preserve">, there was a date change for the board meeting from Monday, January 15, 2018 to Tuesday January 16, 2018 due to the MLK Holiday. There was a unanimous approval for the date change. </w:t>
      </w:r>
    </w:p>
    <w:p w:rsidR="00B90B8A" w:rsidRDefault="00FA3A59" w:rsidP="00B90B8A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B90B8A" w:rsidRPr="00FE5E06" w:rsidRDefault="00B90B8A" w:rsidP="00B90B8A">
      <w:pPr>
        <w:shd w:val="clear" w:color="auto" w:fill="FFFFFF"/>
        <w:jc w:val="both"/>
        <w:rPr>
          <w:rFonts w:eastAsia="Times New Roman"/>
          <w:b/>
        </w:rPr>
      </w:pPr>
      <w:r w:rsidRPr="00FE5E06">
        <w:rPr>
          <w:rFonts w:eastAsia="Times New Roman"/>
          <w:b/>
        </w:rPr>
        <w:t xml:space="preserve">Announcements/Acknowledgements </w:t>
      </w:r>
    </w:p>
    <w:p w:rsidR="00B90B8A" w:rsidRDefault="00B90B8A" w:rsidP="00B90B8A">
      <w:pPr>
        <w:shd w:val="clear" w:color="auto" w:fill="FFFFFF"/>
        <w:jc w:val="both"/>
        <w:rPr>
          <w:rFonts w:eastAsia="Times New Roman"/>
          <w:b/>
        </w:rPr>
      </w:pPr>
    </w:p>
    <w:p w:rsidR="00095529" w:rsidRDefault="00B90B8A" w:rsidP="00190703">
      <w:pPr>
        <w:shd w:val="clear" w:color="auto" w:fill="FFFFFF"/>
        <w:jc w:val="both"/>
        <w:rPr>
          <w:rFonts w:eastAsia="Times New Roman"/>
          <w:b/>
        </w:rPr>
      </w:pPr>
      <w:r w:rsidRPr="00B20FB1">
        <w:rPr>
          <w:rFonts w:eastAsia="Times New Roman"/>
          <w:b/>
        </w:rPr>
        <w:t>Adjournment</w:t>
      </w:r>
      <w:r w:rsidR="00B266BF" w:rsidRPr="00B20FB1">
        <w:rPr>
          <w:rFonts w:eastAsia="Times New Roman"/>
          <w:b/>
        </w:rPr>
        <w:t>-</w:t>
      </w:r>
      <w:r w:rsidR="001970FC" w:rsidRPr="00B20FB1">
        <w:rPr>
          <w:rFonts w:eastAsia="Times New Roman"/>
          <w:b/>
        </w:rPr>
        <w:t xml:space="preserve"> </w:t>
      </w:r>
      <w:r w:rsidR="00673967">
        <w:rPr>
          <w:rFonts w:eastAsia="Times New Roman"/>
          <w:b/>
        </w:rPr>
        <w:t>Chris Nolen</w:t>
      </w:r>
      <w:r w:rsidR="00A9095A" w:rsidRPr="00B20FB1">
        <w:rPr>
          <w:rFonts w:eastAsia="Times New Roman"/>
          <w:b/>
        </w:rPr>
        <w:t xml:space="preserve"> moved to adjourn</w:t>
      </w:r>
      <w:r w:rsidR="00B20FB1" w:rsidRPr="00B20FB1">
        <w:rPr>
          <w:rFonts w:eastAsia="Times New Roman"/>
          <w:b/>
        </w:rPr>
        <w:t>,</w:t>
      </w:r>
      <w:r w:rsidR="001970FC" w:rsidRPr="00B20FB1">
        <w:rPr>
          <w:rFonts w:eastAsia="Times New Roman"/>
          <w:b/>
        </w:rPr>
        <w:t xml:space="preserve"> seconded by </w:t>
      </w:r>
      <w:r w:rsidR="00B20FB1">
        <w:rPr>
          <w:rFonts w:eastAsia="Times New Roman"/>
          <w:b/>
        </w:rPr>
        <w:t>George Sewell</w:t>
      </w:r>
      <w:r w:rsidR="002F6727">
        <w:rPr>
          <w:rFonts w:eastAsia="Times New Roman"/>
          <w:b/>
        </w:rPr>
        <w:t xml:space="preserve">, meeting adjourned at </w:t>
      </w:r>
      <w:r w:rsidR="00673967">
        <w:rPr>
          <w:rFonts w:eastAsia="Times New Roman"/>
          <w:b/>
        </w:rPr>
        <w:t>6:42</w:t>
      </w:r>
      <w:r w:rsidR="002F6727">
        <w:rPr>
          <w:rFonts w:eastAsia="Times New Roman"/>
          <w:b/>
        </w:rPr>
        <w:t>PM</w:t>
      </w:r>
    </w:p>
    <w:p w:rsidR="002F6727" w:rsidRDefault="002F6727" w:rsidP="00190703">
      <w:pPr>
        <w:shd w:val="clear" w:color="auto" w:fill="FFFFFF"/>
        <w:jc w:val="both"/>
      </w:pPr>
    </w:p>
    <w:p w:rsidR="002F6727" w:rsidRDefault="002F6727" w:rsidP="00190703">
      <w:pPr>
        <w:shd w:val="clear" w:color="auto" w:fill="FFFFFF"/>
        <w:jc w:val="both"/>
      </w:pPr>
      <w:r>
        <w:t>Respectfully Submitted</w:t>
      </w:r>
      <w:r w:rsidR="00412729">
        <w:t>,</w:t>
      </w:r>
    </w:p>
    <w:p w:rsidR="00412729" w:rsidRDefault="00412729" w:rsidP="00190703">
      <w:pPr>
        <w:shd w:val="clear" w:color="auto" w:fill="FFFFFF"/>
        <w:jc w:val="both"/>
      </w:pPr>
    </w:p>
    <w:p w:rsidR="00412729" w:rsidRPr="00412729" w:rsidRDefault="00412729" w:rsidP="00190703">
      <w:pPr>
        <w:shd w:val="clear" w:color="auto" w:fill="FFFFFF"/>
        <w:jc w:val="both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Ora Rice</w:t>
      </w:r>
    </w:p>
    <w:p w:rsidR="00412729" w:rsidRDefault="00412729" w:rsidP="00190703">
      <w:pPr>
        <w:shd w:val="clear" w:color="auto" w:fill="FFFFFF"/>
        <w:jc w:val="both"/>
      </w:pPr>
    </w:p>
    <w:p w:rsidR="00412729" w:rsidRDefault="00412729" w:rsidP="00190703">
      <w:pPr>
        <w:shd w:val="clear" w:color="auto" w:fill="FFFFFF"/>
        <w:jc w:val="both"/>
      </w:pPr>
      <w:r>
        <w:t>Ora Rice</w:t>
      </w:r>
    </w:p>
    <w:p w:rsidR="00412729" w:rsidRDefault="00412729" w:rsidP="00190703">
      <w:pPr>
        <w:shd w:val="clear" w:color="auto" w:fill="FFFFFF"/>
        <w:jc w:val="both"/>
      </w:pPr>
      <w:r>
        <w:t>Secretary</w:t>
      </w:r>
    </w:p>
    <w:p w:rsidR="002F6727" w:rsidRDefault="002F6727" w:rsidP="00190703">
      <w:pPr>
        <w:shd w:val="clear" w:color="auto" w:fill="FFFFFF"/>
        <w:jc w:val="both"/>
        <w:rPr>
          <w:b/>
          <w:i/>
        </w:rPr>
      </w:pPr>
    </w:p>
    <w:p w:rsidR="002F6727" w:rsidRDefault="002F6727" w:rsidP="00190703">
      <w:pPr>
        <w:shd w:val="clear" w:color="auto" w:fill="FFFFFF"/>
        <w:jc w:val="both"/>
        <w:rPr>
          <w:b/>
          <w:i/>
        </w:rPr>
      </w:pPr>
    </w:p>
    <w:p w:rsidR="002F6727" w:rsidRPr="00412729" w:rsidRDefault="002F6727" w:rsidP="00190703">
      <w:pPr>
        <w:shd w:val="clear" w:color="auto" w:fill="FFFFFF"/>
        <w:jc w:val="both"/>
        <w:rPr>
          <w:b/>
          <w:i/>
        </w:rPr>
      </w:pPr>
    </w:p>
    <w:sectPr w:rsidR="002F6727" w:rsidRPr="00412729" w:rsidSect="00FE5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70"/>
    <w:multiLevelType w:val="hybridMultilevel"/>
    <w:tmpl w:val="A1BC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0044"/>
    <w:multiLevelType w:val="hybridMultilevel"/>
    <w:tmpl w:val="0F0CB8E0"/>
    <w:lvl w:ilvl="0" w:tplc="1752F2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92913F1"/>
    <w:multiLevelType w:val="hybridMultilevel"/>
    <w:tmpl w:val="D6D2BC2E"/>
    <w:lvl w:ilvl="0" w:tplc="3CF26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A"/>
    <w:rsid w:val="00012199"/>
    <w:rsid w:val="000866FD"/>
    <w:rsid w:val="00095529"/>
    <w:rsid w:val="000960AF"/>
    <w:rsid w:val="000975B1"/>
    <w:rsid w:val="0017024E"/>
    <w:rsid w:val="00171593"/>
    <w:rsid w:val="00190703"/>
    <w:rsid w:val="001970FC"/>
    <w:rsid w:val="002C3A7D"/>
    <w:rsid w:val="002F6727"/>
    <w:rsid w:val="0031734C"/>
    <w:rsid w:val="00343A8B"/>
    <w:rsid w:val="00412729"/>
    <w:rsid w:val="0043339B"/>
    <w:rsid w:val="00444894"/>
    <w:rsid w:val="00476443"/>
    <w:rsid w:val="00497AA0"/>
    <w:rsid w:val="00510136"/>
    <w:rsid w:val="00540FA6"/>
    <w:rsid w:val="0058488C"/>
    <w:rsid w:val="005E037B"/>
    <w:rsid w:val="00673967"/>
    <w:rsid w:val="006A5695"/>
    <w:rsid w:val="006F5459"/>
    <w:rsid w:val="00753F9E"/>
    <w:rsid w:val="00886C76"/>
    <w:rsid w:val="008A3BD4"/>
    <w:rsid w:val="00913F3F"/>
    <w:rsid w:val="009B4605"/>
    <w:rsid w:val="00A16A60"/>
    <w:rsid w:val="00A24001"/>
    <w:rsid w:val="00A9095A"/>
    <w:rsid w:val="00B20FB1"/>
    <w:rsid w:val="00B266BF"/>
    <w:rsid w:val="00B650B1"/>
    <w:rsid w:val="00B90B8A"/>
    <w:rsid w:val="00BE0F3F"/>
    <w:rsid w:val="00C661A3"/>
    <w:rsid w:val="00DD35B5"/>
    <w:rsid w:val="00DE33CA"/>
    <w:rsid w:val="00E70B04"/>
    <w:rsid w:val="00FA3A59"/>
    <w:rsid w:val="00FC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E4F10-0578-43B4-9461-E41905BC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A"/>
    <w:pPr>
      <w:ind w:left="720"/>
      <w:contextualSpacing/>
    </w:pPr>
  </w:style>
  <w:style w:type="table" w:styleId="TableGrid">
    <w:name w:val="Table Grid"/>
    <w:basedOn w:val="TableNormal"/>
    <w:uiPriority w:val="59"/>
    <w:rsid w:val="00B9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Njeri Camara</dc:creator>
  <cp:keywords/>
  <dc:description/>
  <cp:lastModifiedBy>Douglas P. Efferson</cp:lastModifiedBy>
  <cp:revision>2</cp:revision>
  <dcterms:created xsi:type="dcterms:W3CDTF">2018-01-24T14:47:00Z</dcterms:created>
  <dcterms:modified xsi:type="dcterms:W3CDTF">2018-01-24T14:47:00Z</dcterms:modified>
</cp:coreProperties>
</file>